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515" w:type="pct"/>
        <w:tblInd w:w="-680" w:type="dxa"/>
        <w:tblLook w:val="04A0" w:firstRow="1" w:lastRow="0" w:firstColumn="1" w:lastColumn="0" w:noHBand="0" w:noVBand="1"/>
      </w:tblPr>
      <w:tblGrid>
        <w:gridCol w:w="3508"/>
        <w:gridCol w:w="3685"/>
        <w:gridCol w:w="7091"/>
      </w:tblGrid>
      <w:tr w:rsidR="00055587" w:rsidRPr="00055587" w14:paraId="4A99302C" w14:textId="77777777" w:rsidTr="00055587">
        <w:tc>
          <w:tcPr>
            <w:tcW w:w="1228" w:type="pct"/>
          </w:tcPr>
          <w:p w14:paraId="1E559673" w14:textId="3072B854" w:rsidR="00055587" w:rsidRPr="000D5B7B" w:rsidRDefault="00055587" w:rsidP="000D5B7B">
            <w:pPr>
              <w:keepNext/>
              <w:spacing w:before="120" w:after="120"/>
              <w:jc w:val="center"/>
              <w:rPr>
                <w:rFonts w:ascii="Tahoma" w:eastAsia="Times New Roman" w:hAnsi="Tahoma" w:cs="Tahoma"/>
                <w:b/>
                <w:bCs/>
                <w:noProof/>
                <w:lang w:val="ro-RO"/>
              </w:rPr>
            </w:pPr>
            <w:r w:rsidRPr="000D5B7B">
              <w:rPr>
                <w:rFonts w:ascii="Tahoma" w:eastAsia="Times New Roman" w:hAnsi="Tahoma" w:cs="Tahoma"/>
                <w:b/>
                <w:bCs/>
                <w:noProof/>
                <w:lang w:val="ro-RO"/>
              </w:rPr>
              <w:t>Procedura PCCB-NC</w:t>
            </w:r>
          </w:p>
        </w:tc>
        <w:tc>
          <w:tcPr>
            <w:tcW w:w="1290" w:type="pct"/>
          </w:tcPr>
          <w:p w14:paraId="54796A54" w14:textId="64645AB3" w:rsidR="00055587" w:rsidRPr="000D5B7B" w:rsidRDefault="00055587" w:rsidP="000D5B7B">
            <w:pPr>
              <w:keepNext/>
              <w:spacing w:before="120" w:after="120"/>
              <w:jc w:val="center"/>
              <w:rPr>
                <w:rFonts w:ascii="Tahoma" w:eastAsia="Times New Roman" w:hAnsi="Tahoma" w:cs="Tahoma"/>
                <w:b/>
                <w:bCs/>
                <w:noProof/>
                <w:lang w:val="ro-RO"/>
              </w:rPr>
            </w:pPr>
            <w:r w:rsidRPr="000D5B7B">
              <w:rPr>
                <w:rFonts w:ascii="Tahoma" w:eastAsia="Times New Roman" w:hAnsi="Tahoma" w:cs="Tahoma"/>
                <w:b/>
                <w:bCs/>
                <w:noProof/>
                <w:lang w:val="ro-RO"/>
              </w:rPr>
              <w:t>Propunere modificari  in procedura PCCB-NC</w:t>
            </w:r>
          </w:p>
        </w:tc>
        <w:tc>
          <w:tcPr>
            <w:tcW w:w="2482" w:type="pct"/>
          </w:tcPr>
          <w:p w14:paraId="50F10D54" w14:textId="09B8602E" w:rsidR="00055587" w:rsidRPr="000D5B7B" w:rsidRDefault="00055587" w:rsidP="000D5B7B">
            <w:pPr>
              <w:keepNext/>
              <w:spacing w:before="120" w:after="120"/>
              <w:jc w:val="center"/>
              <w:rPr>
                <w:rFonts w:ascii="Tahoma" w:eastAsia="Times New Roman" w:hAnsi="Tahoma" w:cs="Tahoma"/>
                <w:b/>
                <w:bCs/>
                <w:noProof/>
                <w:lang w:val="ro-RO"/>
              </w:rPr>
            </w:pPr>
            <w:r w:rsidRPr="000D5B7B">
              <w:rPr>
                <w:rFonts w:ascii="Tahoma" w:eastAsia="Times New Roman" w:hAnsi="Tahoma" w:cs="Tahoma"/>
                <w:b/>
                <w:bCs/>
                <w:noProof/>
                <w:lang w:val="ro-RO"/>
              </w:rPr>
              <w:t>Comentarii OPCOM</w:t>
            </w:r>
          </w:p>
        </w:tc>
      </w:tr>
      <w:tr w:rsidR="00055587" w:rsidRPr="00FF1855" w14:paraId="0F4C06B0" w14:textId="77777777" w:rsidTr="00055587">
        <w:tc>
          <w:tcPr>
            <w:tcW w:w="1228" w:type="pct"/>
          </w:tcPr>
          <w:p w14:paraId="3D28C90F" w14:textId="77777777" w:rsidR="008B4D53" w:rsidRDefault="008B4D53" w:rsidP="00055587">
            <w:pPr>
              <w:keepNext/>
              <w:spacing w:before="120" w:after="120"/>
              <w:jc w:val="both"/>
              <w:rPr>
                <w:rFonts w:ascii="Tahoma" w:eastAsia="Times New Roman" w:hAnsi="Tahoma" w:cs="Tahoma"/>
                <w:noProof/>
                <w:lang w:val="ro-RO"/>
              </w:rPr>
            </w:pPr>
          </w:p>
          <w:p w14:paraId="71D9EDF6" w14:textId="60B61BF7" w:rsidR="00055587" w:rsidRPr="00055587" w:rsidRDefault="00055587" w:rsidP="00055587">
            <w:pPr>
              <w:keepNext/>
              <w:spacing w:before="120" w:after="120"/>
              <w:jc w:val="both"/>
              <w:rPr>
                <w:rFonts w:ascii="Tahoma" w:eastAsia="Times New Roman" w:hAnsi="Tahoma" w:cs="Tahoma"/>
                <w:noProof/>
                <w:sz w:val="24"/>
                <w:szCs w:val="24"/>
                <w:lang w:val="ro-RO"/>
              </w:rPr>
            </w:pPr>
            <w:r w:rsidRPr="00055587">
              <w:rPr>
                <w:rFonts w:ascii="Tahoma" w:eastAsia="Times New Roman" w:hAnsi="Tahoma" w:cs="Tahoma"/>
                <w:noProof/>
                <w:lang w:val="ro-RO"/>
              </w:rPr>
              <w:t>“9.3.6 Prețul tranzacției la care se va încheia o tranzacție, urmare a regulilor de corelare, va fi prețul ofertei nou-introduse în piață de sens contrar celei existente aflate la cel mai bun preț, compatibilă cu aceasta și având cel mai bun preț.”</w:t>
            </w:r>
          </w:p>
        </w:tc>
        <w:tc>
          <w:tcPr>
            <w:tcW w:w="1290" w:type="pct"/>
          </w:tcPr>
          <w:p w14:paraId="113598AC" w14:textId="48FE5CE6" w:rsidR="008B4D53" w:rsidRPr="008B4D53" w:rsidRDefault="008B4D53" w:rsidP="00055587">
            <w:pPr>
              <w:keepNext/>
              <w:spacing w:before="120" w:after="120"/>
              <w:jc w:val="both"/>
              <w:rPr>
                <w:rFonts w:ascii="Tahoma" w:eastAsia="Times New Roman" w:hAnsi="Tahoma" w:cs="Tahoma"/>
                <w:b/>
                <w:bCs/>
                <w:noProof/>
                <w:lang w:val="ro-RO"/>
              </w:rPr>
            </w:pPr>
            <w:r w:rsidRPr="008B4D53">
              <w:rPr>
                <w:rFonts w:ascii="Tahoma" w:eastAsia="Times New Roman" w:hAnsi="Tahoma" w:cs="Tahoma"/>
                <w:b/>
                <w:bCs/>
                <w:noProof/>
                <w:lang w:val="ro-RO"/>
              </w:rPr>
              <w:t>ENEL ENERGIE S.A. si ENEL ENERGIE MUNTENIA S.A.:</w:t>
            </w:r>
          </w:p>
          <w:p w14:paraId="508AD85F" w14:textId="0FD2488A"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“9.3.6 Prețul tranzacției la care se va încheia o tranzacție, urmare a regulilor de corelare, va fi prețul ofertei existente în piață aflată la cel mai bun preț și de sens contrar ofertei nou-introduse compatibile și având cel mai bun preț.”</w:t>
            </w:r>
          </w:p>
          <w:p w14:paraId="799BA4D3" w14:textId="77777777" w:rsidR="00055587" w:rsidRPr="00055587" w:rsidRDefault="00055587" w:rsidP="00055587">
            <w:pPr>
              <w:keepNext/>
              <w:spacing w:before="120" w:after="120"/>
              <w:jc w:val="both"/>
              <w:rPr>
                <w:rFonts w:ascii="Tahoma" w:eastAsia="Times New Roman" w:hAnsi="Tahoma" w:cs="Tahoma"/>
                <w:noProof/>
                <w:lang w:val="ro-RO"/>
              </w:rPr>
            </w:pPr>
          </w:p>
        </w:tc>
        <w:tc>
          <w:tcPr>
            <w:tcW w:w="2482" w:type="pct"/>
          </w:tcPr>
          <w:p w14:paraId="630F3D91" w14:textId="62339AC4"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Referitor la modificarea mecanismului de stabilire a prețului pe PCCB-NC, nu este clară motivația modificării solicitate din perspectiva beneficiilor pentru stabilitatea și eficiența pieței. În acest sens</w:t>
            </w:r>
            <w:r w:rsidR="002949EB">
              <w:rPr>
                <w:rFonts w:ascii="Tahoma" w:eastAsia="Times New Roman" w:hAnsi="Tahoma" w:cs="Tahoma"/>
                <w:noProof/>
                <w:lang w:val="ro-RO"/>
              </w:rPr>
              <w:t>,</w:t>
            </w:r>
            <w:r w:rsidRPr="00055587">
              <w:rPr>
                <w:rFonts w:ascii="Tahoma" w:eastAsia="Times New Roman" w:hAnsi="Tahoma" w:cs="Tahoma"/>
                <w:noProof/>
                <w:lang w:val="ro-RO"/>
              </w:rPr>
              <w:t xml:space="preserve"> supunem atenției dumneavoastră faptul că pentru modalitatea de tranzacționare PCCB-NC</w:t>
            </w:r>
            <w:r w:rsidR="002949EB">
              <w:rPr>
                <w:rFonts w:ascii="Tahoma" w:eastAsia="Times New Roman" w:hAnsi="Tahoma" w:cs="Tahoma"/>
                <w:noProof/>
                <w:lang w:val="ro-RO"/>
              </w:rPr>
              <w:t>:</w:t>
            </w:r>
            <w:r w:rsidRPr="00055587">
              <w:rPr>
                <w:rFonts w:ascii="Tahoma" w:eastAsia="Times New Roman" w:hAnsi="Tahoma" w:cs="Tahoma"/>
                <w:noProof/>
                <w:lang w:val="ro-RO"/>
              </w:rPr>
              <w:t xml:space="preserve"> </w:t>
            </w:r>
          </w:p>
          <w:p w14:paraId="5AB9DAE3"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 tranzacționarea este anonimă,</w:t>
            </w:r>
          </w:p>
          <w:p w14:paraId="270F0FEE"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 accesul în piață nu presupune existența unei analize de risc de contraparte prealabile care să limiteze posibilitatea încheierii tranzacțiilor la un număr de contrapărți eligibile,</w:t>
            </w:r>
          </w:p>
          <w:p w14:paraId="07E2F2A8"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 participantul care introduce în piață un ordin își asumă condițiile de preț de la momentul introducerii ordinului, acestea putând fi diferite de cele de la momentul introducerii celorlalte ordine din piață sau de la momentul încheierii tranzacțiilor.</w:t>
            </w:r>
          </w:p>
          <w:p w14:paraId="2883DEAA"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 tranzacțiile se încheie exclusiv în mod concurențial, respectiv la preț de cumpărare egal sau mai mic decât prețul ordinului introdus de cumpărător, respectiv la preț de vânzare egal sau mai mare decât prețul ordinului introdus de vânzător,</w:t>
            </w:r>
          </w:p>
          <w:p w14:paraId="6601EC1C"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 participanții la piață dispun de certitudinea că prețul tranzacției reflectă în mod obiectiv condițiile pieței.</w:t>
            </w:r>
          </w:p>
          <w:p w14:paraId="72CBCB88" w14:textId="77777777" w:rsidR="00055587" w:rsidRPr="00055587" w:rsidRDefault="00055587" w:rsidP="00055587">
            <w:pPr>
              <w:keepNext/>
              <w:spacing w:before="120" w:after="120"/>
              <w:jc w:val="both"/>
              <w:rPr>
                <w:rFonts w:ascii="Tahoma" w:eastAsia="Times New Roman" w:hAnsi="Tahoma" w:cs="Tahoma"/>
                <w:noProof/>
                <w:lang w:val="ro-RO"/>
              </w:rPr>
            </w:pPr>
            <w:r w:rsidRPr="00055587">
              <w:rPr>
                <w:rFonts w:ascii="Tahoma" w:eastAsia="Times New Roman" w:hAnsi="Tahoma" w:cs="Tahoma"/>
                <w:noProof/>
                <w:lang w:val="ro-RO"/>
              </w:rPr>
              <w:t>Având în vedere faptul că modificarea mecanismului de formare a prețului implică modificări în platfoma de tranzacționare și aplicația NFF, considerăm oportună identificarea justificărilor obiective, altele decât cea referitoare la folosirea modelului PC-OTC, între PCCB-NC și PC-OTC existând după cum cunoașteți diferențe de principii de funcționare importante. Totodată, supunem atenției faptul că, pentru modificarea mecanismului de formare a prețului la nivelul sistemului de tranzacționare, este necesară modificarea corespunzătoare a cadrului de reglementare care să justifice în mod obiectiv realizarea investițiilor necesare, cu termenele specifice de realizare, implementare și testare a unei noi versiuni a aplicației NFF.</w:t>
            </w:r>
          </w:p>
        </w:tc>
      </w:tr>
      <w:tr w:rsidR="00055587" w:rsidRPr="00FF1855" w14:paraId="6A0B1EA2" w14:textId="77777777" w:rsidTr="00055587">
        <w:tc>
          <w:tcPr>
            <w:tcW w:w="1228" w:type="pct"/>
          </w:tcPr>
          <w:p w14:paraId="72A93F2A" w14:textId="77777777" w:rsidR="00055587" w:rsidRPr="00055587" w:rsidRDefault="00055587" w:rsidP="00055587">
            <w:pPr>
              <w:rPr>
                <w:rFonts w:ascii="Tahoma" w:hAnsi="Tahoma" w:cs="Tahoma"/>
                <w:lang w:val="ro-RO"/>
              </w:rPr>
            </w:pPr>
          </w:p>
        </w:tc>
        <w:tc>
          <w:tcPr>
            <w:tcW w:w="1290" w:type="pct"/>
          </w:tcPr>
          <w:p w14:paraId="61E9150F" w14:textId="77777777" w:rsidR="00055587" w:rsidRPr="00055587" w:rsidRDefault="00055587" w:rsidP="00055587">
            <w:pPr>
              <w:jc w:val="both"/>
              <w:rPr>
                <w:rFonts w:ascii="Tahoma" w:hAnsi="Tahoma" w:cs="Tahoma"/>
                <w:lang w:val="ro-RO"/>
              </w:rPr>
            </w:pPr>
            <w:r w:rsidRPr="00055587">
              <w:rPr>
                <w:rFonts w:ascii="Tahoma" w:hAnsi="Tahoma" w:cs="Tahoma"/>
                <w:lang w:val="ro-RO"/>
              </w:rPr>
              <w:t xml:space="preserve">Introducerea noțiunii de </w:t>
            </w:r>
            <w:r w:rsidRPr="00055587">
              <w:rPr>
                <w:rFonts w:ascii="Tahoma" w:hAnsi="Tahoma" w:cs="Tahoma"/>
                <w:i/>
                <w:iCs/>
                <w:lang w:val="ro-RO"/>
              </w:rPr>
              <w:t xml:space="preserve">Pret de referinta </w:t>
            </w:r>
            <w:r w:rsidRPr="00055587">
              <w:rPr>
                <w:rFonts w:ascii="Tahoma" w:hAnsi="Tahoma" w:cs="Tahoma"/>
                <w:lang w:val="ro-RO"/>
              </w:rPr>
              <w:t xml:space="preserve">în secțiunea </w:t>
            </w:r>
            <w:r w:rsidRPr="00055587">
              <w:rPr>
                <w:rFonts w:ascii="Tahoma" w:hAnsi="Tahoma" w:cs="Tahoma"/>
                <w:b/>
                <w:bCs/>
                <w:lang w:val="ro-RO"/>
              </w:rPr>
              <w:t>4. Definiții</w:t>
            </w:r>
          </w:p>
          <w:p w14:paraId="45D9C261" w14:textId="77777777" w:rsidR="00055587" w:rsidRPr="00055587" w:rsidRDefault="00055587" w:rsidP="00055587">
            <w:pPr>
              <w:jc w:val="both"/>
              <w:rPr>
                <w:rFonts w:ascii="Tahoma" w:hAnsi="Tahoma" w:cs="Tahoma"/>
                <w:lang w:val="ro-RO"/>
              </w:rPr>
            </w:pPr>
          </w:p>
          <w:p w14:paraId="4E02EC96" w14:textId="77777777" w:rsidR="00055587" w:rsidRPr="00055587" w:rsidRDefault="00055587" w:rsidP="00055587">
            <w:pPr>
              <w:jc w:val="both"/>
              <w:rPr>
                <w:rFonts w:ascii="Tahoma" w:eastAsia="Times New Roman" w:hAnsi="Tahoma" w:cs="Tahoma"/>
                <w:noProof/>
                <w:lang w:val="ro-RO"/>
              </w:rPr>
            </w:pPr>
            <w:r w:rsidRPr="00055587">
              <w:rPr>
                <w:rFonts w:ascii="Tahoma" w:eastAsia="Times New Roman" w:hAnsi="Tahoma" w:cs="Tahoma"/>
                <w:noProof/>
                <w:lang w:val="ro-RO"/>
              </w:rPr>
              <w:lastRenderedPageBreak/>
              <w:t>”Preţul de referinţă – reprezintă preţul rezultat ca medie aritmetică a propunerilor participanţilor la PCCB-NC, transmise prin mesaj e-mail pe adresa administratorului Platformei de tranzacționare (opccb@opcom.ro / pccb@opcom.ro ), pana la ora 18:00 a zilei lucrătoare anterioare zilei de tranzacţionare;”</w:t>
            </w:r>
          </w:p>
          <w:p w14:paraId="613B1F2A" w14:textId="77777777" w:rsidR="00055587" w:rsidRPr="00055587" w:rsidRDefault="00055587" w:rsidP="00055587">
            <w:pPr>
              <w:jc w:val="both"/>
              <w:rPr>
                <w:rFonts w:ascii="Tahoma" w:hAnsi="Tahoma" w:cs="Tahoma"/>
                <w:lang w:val="ro-RO"/>
              </w:rPr>
            </w:pPr>
          </w:p>
          <w:p w14:paraId="342784F2" w14:textId="77777777" w:rsidR="00055587" w:rsidRPr="00055587" w:rsidRDefault="00055587" w:rsidP="00055587">
            <w:pPr>
              <w:jc w:val="both"/>
              <w:rPr>
                <w:rFonts w:ascii="Tahoma" w:hAnsi="Tahoma" w:cs="Tahoma"/>
                <w:b/>
                <w:bCs/>
                <w:lang w:val="ro-RO"/>
              </w:rPr>
            </w:pPr>
            <w:r w:rsidRPr="00055587">
              <w:rPr>
                <w:rFonts w:ascii="Tahoma" w:hAnsi="Tahoma" w:cs="Tahoma"/>
                <w:lang w:val="ro-RO"/>
              </w:rPr>
              <w:t xml:space="preserve">Introducerea frazei de mai jos în secțiunea </w:t>
            </w:r>
            <w:r w:rsidRPr="00055587">
              <w:rPr>
                <w:rFonts w:ascii="Tahoma" w:hAnsi="Tahoma" w:cs="Tahoma"/>
                <w:b/>
                <w:bCs/>
                <w:lang w:val="ro-RO"/>
              </w:rPr>
              <w:t>10. PUBLICAREA INFORMAŢIILOR</w:t>
            </w:r>
          </w:p>
          <w:p w14:paraId="6B2406F6" w14:textId="77777777" w:rsidR="00055587" w:rsidRPr="00055587" w:rsidRDefault="00055587" w:rsidP="00055587">
            <w:pPr>
              <w:jc w:val="both"/>
              <w:rPr>
                <w:rFonts w:ascii="Tahoma" w:hAnsi="Tahoma" w:cs="Tahoma"/>
                <w:lang w:val="ro-RO"/>
              </w:rPr>
            </w:pPr>
            <w:r w:rsidRPr="00055587">
              <w:rPr>
                <w:rFonts w:ascii="Tahoma" w:hAnsi="Tahoma" w:cs="Tahoma"/>
                <w:lang w:val="ro-RO"/>
              </w:rPr>
              <w:t>”b)</w:t>
            </w:r>
          </w:p>
          <w:p w14:paraId="602BFD68" w14:textId="77777777" w:rsidR="00055587" w:rsidRPr="00055587" w:rsidRDefault="00055587" w:rsidP="00055587">
            <w:pPr>
              <w:jc w:val="both"/>
              <w:rPr>
                <w:rFonts w:ascii="Tahoma" w:hAnsi="Tahoma" w:cs="Tahoma"/>
                <w:i/>
                <w:iCs/>
                <w:lang w:val="ro-RO"/>
              </w:rPr>
            </w:pPr>
            <w:r w:rsidRPr="00055587">
              <w:rPr>
                <w:rFonts w:ascii="Tahoma" w:hAnsi="Tahoma" w:cs="Tahoma"/>
                <w:lang w:val="ro-RO"/>
              </w:rPr>
              <w:t>iii.</w:t>
            </w:r>
          </w:p>
          <w:p w14:paraId="12A56A4E" w14:textId="77777777" w:rsidR="00055587" w:rsidRPr="00055587" w:rsidRDefault="00055587" w:rsidP="00055587">
            <w:pPr>
              <w:jc w:val="both"/>
              <w:rPr>
                <w:rFonts w:ascii="Tahoma" w:eastAsia="Times New Roman" w:hAnsi="Tahoma" w:cs="Tahoma"/>
                <w:noProof/>
                <w:lang w:val="ro-RO"/>
              </w:rPr>
            </w:pPr>
            <w:r w:rsidRPr="00055587">
              <w:rPr>
                <w:rFonts w:ascii="Tahoma" w:eastAsia="Times New Roman" w:hAnsi="Tahoma" w:cs="Tahoma"/>
                <w:noProof/>
                <w:lang w:val="ro-RO"/>
              </w:rPr>
              <w:t>La încheierea sesiunii de tranzacționare OPCCB va publica pe pagina sa web (www.opcom.ro), detaliile complete aferente tranzacţiilor: a) la care preţul de închidere a variat cu cel puţin 10% faţă de preţul de referinţă, dacă aceasta a fost prima tranzacţie în cursul zilei curente, sau faţă de preţul tranzacţiei precedente din ziua curentă;”</w:t>
            </w:r>
          </w:p>
          <w:p w14:paraId="6EEBFEE9" w14:textId="77777777" w:rsidR="00055587" w:rsidRPr="00055587" w:rsidRDefault="00055587" w:rsidP="00055587">
            <w:pPr>
              <w:jc w:val="both"/>
              <w:rPr>
                <w:rFonts w:ascii="Tahoma" w:hAnsi="Tahoma" w:cs="Tahoma"/>
                <w:lang w:val="ro-RO"/>
              </w:rPr>
            </w:pPr>
          </w:p>
        </w:tc>
        <w:tc>
          <w:tcPr>
            <w:tcW w:w="2482" w:type="pct"/>
          </w:tcPr>
          <w:p w14:paraId="6E9F22E8" w14:textId="2FD41B5F" w:rsidR="00055587" w:rsidRPr="00055587" w:rsidRDefault="00055587" w:rsidP="00055587">
            <w:pPr>
              <w:jc w:val="both"/>
              <w:rPr>
                <w:rFonts w:ascii="Tahoma" w:hAnsi="Tahoma" w:cs="Tahoma"/>
                <w:lang w:val="ro-RO"/>
              </w:rPr>
            </w:pPr>
            <w:r w:rsidRPr="00055587">
              <w:rPr>
                <w:rFonts w:ascii="Tahoma" w:hAnsi="Tahoma" w:cs="Tahoma"/>
                <w:lang w:val="ro-RO"/>
              </w:rPr>
              <w:lastRenderedPageBreak/>
              <w:t>Propunerea excede cadrul de reglementare</w:t>
            </w:r>
            <w:r w:rsidR="00FF1855" w:rsidRPr="00FF1855">
              <w:rPr>
                <w:rFonts w:ascii="Tahoma" w:hAnsi="Tahoma" w:cs="Tahoma"/>
                <w:lang w:val="ro-RO"/>
              </w:rPr>
              <w:t>.</w:t>
            </w:r>
          </w:p>
        </w:tc>
      </w:tr>
      <w:tr w:rsidR="00055587" w:rsidRPr="00FF1855" w14:paraId="74AF454F" w14:textId="77777777" w:rsidTr="00055587">
        <w:tc>
          <w:tcPr>
            <w:tcW w:w="1228" w:type="pct"/>
          </w:tcPr>
          <w:p w14:paraId="47A30C89" w14:textId="77777777" w:rsidR="00055587" w:rsidRPr="00055587" w:rsidRDefault="00055587" w:rsidP="00055587">
            <w:pPr>
              <w:rPr>
                <w:rFonts w:ascii="Tahoma" w:hAnsi="Tahoma" w:cs="Tahoma"/>
                <w:lang w:val="ro-RO"/>
              </w:rPr>
            </w:pPr>
          </w:p>
        </w:tc>
        <w:tc>
          <w:tcPr>
            <w:tcW w:w="1290" w:type="pct"/>
          </w:tcPr>
          <w:p w14:paraId="5524BBE2" w14:textId="77777777" w:rsidR="00055587" w:rsidRPr="00055587" w:rsidRDefault="00055587" w:rsidP="00055587">
            <w:pPr>
              <w:rPr>
                <w:lang w:val="ro-RO"/>
              </w:rPr>
            </w:pPr>
          </w:p>
          <w:p w14:paraId="7D48BE51" w14:textId="77777777" w:rsidR="00055587" w:rsidRPr="00055587" w:rsidRDefault="00055587" w:rsidP="00055587">
            <w:pPr>
              <w:rPr>
                <w:rFonts w:ascii="Tahoma" w:eastAsia="Times New Roman" w:hAnsi="Tahoma" w:cs="Tahoma"/>
                <w:noProof/>
                <w:lang w:val="ro-RO"/>
              </w:rPr>
            </w:pPr>
            <w:r w:rsidRPr="00055587">
              <w:rPr>
                <w:rFonts w:ascii="Tahoma" w:eastAsia="Times New Roman" w:hAnsi="Tahoma" w:cs="Tahoma"/>
                <w:noProof/>
                <w:lang w:val="ro-RO"/>
              </w:rPr>
              <w:t>Eliminarea modalității curente de conectare la sistemul de tranzacționare PCCB-NC prin intermediul certificatului de acces și token, și înlocuirea acesteia cu o modalitate tehnica similară PC-OTC utilizând nume utilizator si parola de acces.</w:t>
            </w:r>
          </w:p>
          <w:p w14:paraId="6ABA14DF" w14:textId="77777777" w:rsidR="00055587" w:rsidRPr="00055587" w:rsidRDefault="00055587" w:rsidP="00055587">
            <w:pPr>
              <w:jc w:val="both"/>
              <w:rPr>
                <w:rFonts w:ascii="Tahoma" w:hAnsi="Tahoma" w:cs="Tahoma"/>
                <w:lang w:val="ro-RO"/>
              </w:rPr>
            </w:pPr>
          </w:p>
        </w:tc>
        <w:tc>
          <w:tcPr>
            <w:tcW w:w="2482" w:type="pct"/>
          </w:tcPr>
          <w:p w14:paraId="7FBF9B21" w14:textId="29C09AA4" w:rsidR="00055587" w:rsidRPr="00055587" w:rsidRDefault="005A59E1" w:rsidP="008B4D53">
            <w:pPr>
              <w:jc w:val="both"/>
              <w:rPr>
                <w:lang w:val="ro-RO"/>
              </w:rPr>
            </w:pPr>
            <w:r w:rsidRPr="005A59E1">
              <w:rPr>
                <w:rFonts w:ascii="Tahoma" w:eastAsia="Times New Roman" w:hAnsi="Tahoma" w:cs="Tahoma"/>
                <w:noProof/>
                <w:lang w:val="ro-RO"/>
              </w:rPr>
              <w:t>Ținand c</w:t>
            </w:r>
            <w:r>
              <w:rPr>
                <w:rFonts w:ascii="Tahoma" w:eastAsia="Times New Roman" w:hAnsi="Tahoma" w:cs="Tahoma"/>
                <w:noProof/>
                <w:lang w:val="ro-RO"/>
              </w:rPr>
              <w:t>o</w:t>
            </w:r>
            <w:r w:rsidRPr="005A59E1">
              <w:rPr>
                <w:rFonts w:ascii="Tahoma" w:eastAsia="Times New Roman" w:hAnsi="Tahoma" w:cs="Tahoma"/>
                <w:noProof/>
                <w:lang w:val="ro-RO"/>
              </w:rPr>
              <w:t xml:space="preserve">nt de riscurile in ceea ce priveste securitatea cibernetica, accesul </w:t>
            </w:r>
            <w:r>
              <w:rPr>
                <w:rFonts w:ascii="Tahoma" w:eastAsia="Times New Roman" w:hAnsi="Tahoma" w:cs="Tahoma"/>
                <w:noProof/>
                <w:lang w:val="ro-RO"/>
              </w:rPr>
              <w:t xml:space="preserve">la </w:t>
            </w:r>
            <w:r w:rsidRPr="005A59E1">
              <w:rPr>
                <w:rFonts w:ascii="Tahoma" w:eastAsia="Times New Roman" w:hAnsi="Tahoma" w:cs="Tahoma"/>
                <w:noProof/>
                <w:lang w:val="ro-RO"/>
              </w:rPr>
              <w:t>platforma ce deserveste PCCB-NC se poate efectua doar prin cheia USB token.</w:t>
            </w:r>
          </w:p>
        </w:tc>
      </w:tr>
    </w:tbl>
    <w:p w14:paraId="30136B77" w14:textId="77777777" w:rsidR="00ED0ED0" w:rsidRPr="00FF1855" w:rsidRDefault="00ED0ED0"/>
    <w:sectPr w:rsidR="00ED0ED0" w:rsidRPr="00FF1855" w:rsidSect="000555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87"/>
    <w:rsid w:val="00055587"/>
    <w:rsid w:val="000D5B7B"/>
    <w:rsid w:val="002949EB"/>
    <w:rsid w:val="003F0DE6"/>
    <w:rsid w:val="004A6A41"/>
    <w:rsid w:val="004B24F6"/>
    <w:rsid w:val="005A59E1"/>
    <w:rsid w:val="008B4D53"/>
    <w:rsid w:val="00D22EBA"/>
    <w:rsid w:val="00ED0ED0"/>
    <w:rsid w:val="00FB0A44"/>
    <w:rsid w:val="00FF1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C957"/>
  <w15:chartTrackingRefBased/>
  <w15:docId w15:val="{7466B730-0B02-4139-8408-8C693B17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587"/>
    <w:pPr>
      <w:spacing w:after="0" w:line="240" w:lineRule="auto"/>
    </w:pPr>
    <w:rPr>
      <w:rFonts w:ascii="Times New Roman" w:hAnsi="Times New Roman" w:cs="Times New Roman"/>
      <w:color w:val="00000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Constantinescu</dc:creator>
  <cp:keywords/>
  <dc:description/>
  <cp:lastModifiedBy>IP</cp:lastModifiedBy>
  <cp:revision>8</cp:revision>
  <dcterms:created xsi:type="dcterms:W3CDTF">2022-01-26T14:57:00Z</dcterms:created>
  <dcterms:modified xsi:type="dcterms:W3CDTF">2022-02-11T11:44:00Z</dcterms:modified>
</cp:coreProperties>
</file>